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36B6E5" w14:textId="77777777" w:rsidR="00387B6C" w:rsidRDefault="00387B6C" w:rsidP="00387B6C">
      <w:pPr>
        <w:pStyle w:val="Header"/>
        <w:jc w:val="center"/>
        <w:rPr>
          <w:b/>
          <w:bCs/>
          <w:iCs/>
          <w:noProof/>
          <w:color w:val="0000FF"/>
        </w:rPr>
      </w:pPr>
      <w:bookmarkStart w:id="0" w:name="_GoBack"/>
      <w:r>
        <w:rPr>
          <w:noProof/>
        </w:rPr>
        <w:drawing>
          <wp:inline distT="0" distB="0" distL="0" distR="0" wp14:anchorId="6E9DF96C" wp14:editId="3D76A722">
            <wp:extent cx="819697" cy="928048"/>
            <wp:effectExtent l="0" t="0" r="0" b="5715"/>
            <wp:docPr id="9" name="Picture 9" descr="H:\STATEART\STATELGOBLU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STATEART\STATELGOBLUE.BMP"/>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819982" cy="928371"/>
                    </a:xfrm>
                    <a:prstGeom prst="rect">
                      <a:avLst/>
                    </a:prstGeom>
                    <a:noFill/>
                    <a:ln>
                      <a:noFill/>
                    </a:ln>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117"/>
        <w:gridCol w:w="3117"/>
      </w:tblGrid>
      <w:tr w:rsidR="00B5771C" w14:paraId="10592B56" w14:textId="77777777" w:rsidTr="00B5771C">
        <w:tc>
          <w:tcPr>
            <w:tcW w:w="3116" w:type="dxa"/>
          </w:tcPr>
          <w:bookmarkEnd w:id="0"/>
          <w:p w14:paraId="0913674E" w14:textId="77777777" w:rsidR="00B5771C" w:rsidRDefault="00B5771C" w:rsidP="00387B6C">
            <w:pPr>
              <w:pStyle w:val="Header"/>
              <w:jc w:val="center"/>
              <w:rPr>
                <w:bCs/>
                <w:i/>
                <w:iCs/>
                <w:noProof/>
                <w:color w:val="0000FF"/>
              </w:rPr>
            </w:pPr>
            <w:r>
              <w:rPr>
                <w:b/>
                <w:bCs/>
                <w:iCs/>
                <w:noProof/>
                <w:color w:val="0000FF"/>
              </w:rPr>
              <w:t>Troy D. Jackson</w:t>
            </w:r>
            <w:r>
              <w:rPr>
                <w:bCs/>
                <w:i/>
                <w:iCs/>
                <w:noProof/>
                <w:color w:val="0000FF"/>
              </w:rPr>
              <w:t xml:space="preserve"> </w:t>
            </w:r>
          </w:p>
          <w:p w14:paraId="486ED568" w14:textId="77777777" w:rsidR="00B5771C" w:rsidRDefault="00B5771C" w:rsidP="00387B6C">
            <w:pPr>
              <w:pStyle w:val="Header"/>
              <w:jc w:val="center"/>
              <w:rPr>
                <w:b/>
                <w:bCs/>
                <w:iCs/>
                <w:noProof/>
                <w:color w:val="0000FF"/>
              </w:rPr>
            </w:pPr>
            <w:r>
              <w:rPr>
                <w:bCs/>
                <w:i/>
                <w:iCs/>
                <w:noProof/>
                <w:color w:val="0000FF"/>
              </w:rPr>
              <w:t>President of the Senate</w:t>
            </w:r>
          </w:p>
        </w:tc>
        <w:tc>
          <w:tcPr>
            <w:tcW w:w="3117" w:type="dxa"/>
          </w:tcPr>
          <w:p w14:paraId="5EFDC7DA" w14:textId="77777777" w:rsidR="00B5771C" w:rsidRDefault="00B5771C" w:rsidP="00387B6C">
            <w:pPr>
              <w:pStyle w:val="Header"/>
              <w:jc w:val="center"/>
              <w:rPr>
                <w:b/>
                <w:bCs/>
                <w:iCs/>
                <w:noProof/>
                <w:color w:val="0000FF"/>
              </w:rPr>
            </w:pPr>
            <w:r>
              <w:rPr>
                <w:b/>
                <w:bCs/>
                <w:iCs/>
                <w:noProof/>
                <w:color w:val="0000FF"/>
              </w:rPr>
              <w:t>State of Maine</w:t>
            </w:r>
          </w:p>
          <w:p w14:paraId="48E8E491" w14:textId="77777777" w:rsidR="00B5771C" w:rsidRDefault="00B5771C" w:rsidP="00387B6C">
            <w:pPr>
              <w:pStyle w:val="Header"/>
              <w:jc w:val="center"/>
              <w:rPr>
                <w:b/>
                <w:bCs/>
                <w:iCs/>
                <w:noProof/>
                <w:color w:val="0000FF"/>
              </w:rPr>
            </w:pPr>
            <w:r>
              <w:rPr>
                <w:bCs/>
                <w:iCs/>
                <w:noProof/>
                <w:color w:val="0000FF"/>
              </w:rPr>
              <w:t>130</w:t>
            </w:r>
            <w:r w:rsidRPr="00F513F2">
              <w:rPr>
                <w:bCs/>
                <w:iCs/>
                <w:noProof/>
                <w:color w:val="0000FF"/>
                <w:vertAlign w:val="superscript"/>
              </w:rPr>
              <w:t>th</w:t>
            </w:r>
            <w:r>
              <w:rPr>
                <w:bCs/>
                <w:iCs/>
                <w:noProof/>
                <w:color w:val="0000FF"/>
              </w:rPr>
              <w:t xml:space="preserve"> Maine</w:t>
            </w:r>
            <w:r w:rsidRPr="00C73C6D">
              <w:rPr>
                <w:bCs/>
                <w:iCs/>
                <w:noProof/>
                <w:color w:val="0000FF"/>
              </w:rPr>
              <w:t xml:space="preserve"> Legislature</w:t>
            </w:r>
          </w:p>
        </w:tc>
        <w:tc>
          <w:tcPr>
            <w:tcW w:w="3117" w:type="dxa"/>
          </w:tcPr>
          <w:p w14:paraId="29955782" w14:textId="77777777" w:rsidR="00B5771C" w:rsidRDefault="00B5771C" w:rsidP="00387B6C">
            <w:pPr>
              <w:pStyle w:val="Header"/>
              <w:jc w:val="center"/>
              <w:rPr>
                <w:bCs/>
                <w:i/>
                <w:iCs/>
                <w:noProof/>
                <w:color w:val="0000FF"/>
              </w:rPr>
            </w:pPr>
            <w:r>
              <w:rPr>
                <w:b/>
                <w:bCs/>
                <w:iCs/>
                <w:noProof/>
                <w:color w:val="0000FF"/>
              </w:rPr>
              <w:t>Ryan M. Fecteau</w:t>
            </w:r>
            <w:r>
              <w:rPr>
                <w:bCs/>
                <w:i/>
                <w:iCs/>
                <w:noProof/>
                <w:color w:val="0000FF"/>
              </w:rPr>
              <w:t xml:space="preserve"> </w:t>
            </w:r>
          </w:p>
          <w:p w14:paraId="614ADEFB" w14:textId="77777777" w:rsidR="00B5771C" w:rsidRDefault="00B5771C" w:rsidP="00387B6C">
            <w:pPr>
              <w:pStyle w:val="Header"/>
              <w:jc w:val="center"/>
              <w:rPr>
                <w:b/>
                <w:bCs/>
                <w:iCs/>
                <w:noProof/>
                <w:color w:val="0000FF"/>
              </w:rPr>
            </w:pPr>
            <w:r>
              <w:rPr>
                <w:bCs/>
                <w:i/>
                <w:iCs/>
                <w:noProof/>
                <w:color w:val="0000FF"/>
              </w:rPr>
              <w:t>Speaker of the House</w:t>
            </w:r>
          </w:p>
        </w:tc>
      </w:tr>
    </w:tbl>
    <w:p w14:paraId="47E04826" w14:textId="77777777" w:rsidR="00387B6C" w:rsidRDefault="00387B6C" w:rsidP="00387B6C">
      <w:pPr>
        <w:pStyle w:val="Header"/>
        <w:jc w:val="center"/>
        <w:rPr>
          <w:b/>
          <w:bCs/>
          <w:iCs/>
          <w:noProof/>
          <w:color w:val="0000FF"/>
        </w:rPr>
      </w:pPr>
    </w:p>
    <w:p w14:paraId="34510FE5" w14:textId="77777777" w:rsidR="0072065B" w:rsidRDefault="00DD4332" w:rsidP="00387B6C">
      <w:pPr>
        <w:pStyle w:val="Header"/>
        <w:rPr>
          <w:b/>
          <w:bCs/>
          <w:iCs/>
          <w:noProof/>
          <w:color w:val="0000FF"/>
        </w:rPr>
      </w:pPr>
      <w:r>
        <w:rPr>
          <w:b/>
          <w:bCs/>
          <w:iCs/>
          <w:noProof/>
          <w:color w:val="0000FF"/>
        </w:rPr>
        <w:t xml:space="preserve">     </w:t>
      </w:r>
      <w:r w:rsidR="00DD7F40">
        <w:rPr>
          <w:b/>
          <w:bCs/>
          <w:iCs/>
          <w:noProof/>
          <w:color w:val="0000FF"/>
        </w:rPr>
        <w:tab/>
      </w:r>
    </w:p>
    <w:p w14:paraId="023CC5B5" w14:textId="6AA0C276" w:rsidR="00387B6C" w:rsidRPr="00552BFD" w:rsidRDefault="00DD7F40" w:rsidP="00387B6C">
      <w:pPr>
        <w:pStyle w:val="Header"/>
      </w:pPr>
      <w:r>
        <w:rPr>
          <w:b/>
          <w:bCs/>
          <w:iCs/>
          <w:noProof/>
          <w:color w:val="0000FF"/>
        </w:rPr>
        <w:t xml:space="preserve">             </w:t>
      </w:r>
      <w:r w:rsidR="00DD4332">
        <w:rPr>
          <w:b/>
          <w:bCs/>
          <w:iCs/>
          <w:noProof/>
          <w:color w:val="0000FF"/>
        </w:rPr>
        <w:t xml:space="preserve">                  </w:t>
      </w:r>
      <w:r>
        <w:rPr>
          <w:b/>
          <w:bCs/>
          <w:iCs/>
          <w:noProof/>
          <w:color w:val="0000FF"/>
        </w:rPr>
        <w:t xml:space="preserve"> </w:t>
      </w:r>
      <w:r w:rsidR="00DD4332">
        <w:rPr>
          <w:b/>
          <w:bCs/>
          <w:iCs/>
          <w:noProof/>
          <w:color w:val="0000FF"/>
        </w:rPr>
        <w:t xml:space="preserve"> </w:t>
      </w:r>
      <w:r w:rsidR="00387B6C">
        <w:rPr>
          <w:b/>
          <w:bCs/>
          <w:iCs/>
          <w:noProof/>
          <w:color w:val="0000FF"/>
        </w:rPr>
        <w:t xml:space="preserve">                          </w:t>
      </w:r>
      <w:r w:rsidR="00DD4332">
        <w:rPr>
          <w:b/>
          <w:bCs/>
          <w:iCs/>
          <w:noProof/>
          <w:color w:val="0000FF"/>
        </w:rPr>
        <w:t xml:space="preserve">       </w:t>
      </w:r>
    </w:p>
    <w:p w14:paraId="70795371" w14:textId="77777777" w:rsidR="0024772F" w:rsidRPr="0024772F" w:rsidRDefault="0024772F" w:rsidP="0024772F">
      <w:pPr>
        <w:pStyle w:val="NoSpacing"/>
        <w:jc w:val="center"/>
        <w:rPr>
          <w:rFonts w:ascii="Times New Roman" w:hAnsi="Times New Roman" w:cs="Times New Roman"/>
          <w:b/>
          <w:sz w:val="24"/>
          <w:u w:val="single"/>
        </w:rPr>
      </w:pPr>
      <w:r w:rsidRPr="0024772F">
        <w:rPr>
          <w:rFonts w:ascii="Times New Roman" w:hAnsi="Times New Roman" w:cs="Times New Roman"/>
          <w:b/>
          <w:sz w:val="24"/>
          <w:u w:val="single"/>
        </w:rPr>
        <w:t>COMMITTEE SUBJECT MATTER FOR THE 1</w:t>
      </w:r>
      <w:r w:rsidR="00B5771C">
        <w:rPr>
          <w:rFonts w:ascii="Times New Roman" w:hAnsi="Times New Roman" w:cs="Times New Roman"/>
          <w:b/>
          <w:sz w:val="24"/>
          <w:u w:val="single"/>
        </w:rPr>
        <w:t>30</w:t>
      </w:r>
      <w:r w:rsidRPr="0024772F">
        <w:rPr>
          <w:rFonts w:ascii="Times New Roman" w:hAnsi="Times New Roman" w:cs="Times New Roman"/>
          <w:b/>
          <w:sz w:val="24"/>
          <w:u w:val="single"/>
        </w:rPr>
        <w:t>TH LEGISLATURE</w:t>
      </w:r>
    </w:p>
    <w:p w14:paraId="79831A13" w14:textId="77777777" w:rsidR="0024772F" w:rsidRPr="0024772F" w:rsidRDefault="0024772F" w:rsidP="0024772F">
      <w:pPr>
        <w:pStyle w:val="NoSpacing"/>
        <w:rPr>
          <w:rFonts w:ascii="Times New Roman" w:hAnsi="Times New Roman" w:cs="Times New Roman"/>
          <w:sz w:val="24"/>
        </w:rPr>
      </w:pPr>
    </w:p>
    <w:p w14:paraId="358C3DC5" w14:textId="77777777" w:rsidR="0024772F" w:rsidRPr="00C92B81" w:rsidRDefault="0024772F" w:rsidP="0024772F">
      <w:pPr>
        <w:pStyle w:val="NoSpacing"/>
        <w:rPr>
          <w:rFonts w:ascii="Times New Roman" w:hAnsi="Times New Roman" w:cs="Times New Roman"/>
          <w:i/>
          <w:sz w:val="24"/>
        </w:rPr>
      </w:pPr>
      <w:r w:rsidRPr="00C92B81">
        <w:rPr>
          <w:rFonts w:ascii="Times New Roman" w:hAnsi="Times New Roman" w:cs="Times New Roman"/>
          <w:i/>
          <w:sz w:val="24"/>
        </w:rPr>
        <w:t>The following is a brief description of the subject matter handled by each joint standing committee established by the Joint Rules of the 1</w:t>
      </w:r>
      <w:r w:rsidR="00B5771C">
        <w:rPr>
          <w:rFonts w:ascii="Times New Roman" w:hAnsi="Times New Roman" w:cs="Times New Roman"/>
          <w:i/>
          <w:sz w:val="24"/>
        </w:rPr>
        <w:t>30</w:t>
      </w:r>
      <w:r w:rsidRPr="00C92B81">
        <w:rPr>
          <w:rFonts w:ascii="Times New Roman" w:hAnsi="Times New Roman" w:cs="Times New Roman"/>
          <w:i/>
          <w:sz w:val="24"/>
        </w:rPr>
        <w:t>th Legislature. It is based on direction from the Presiding Officers, as well as, bills referred to committees during the 12</w:t>
      </w:r>
      <w:r w:rsidR="00B5771C">
        <w:rPr>
          <w:rFonts w:ascii="Times New Roman" w:hAnsi="Times New Roman" w:cs="Times New Roman"/>
          <w:i/>
          <w:sz w:val="24"/>
        </w:rPr>
        <w:t>9</w:t>
      </w:r>
      <w:r w:rsidRPr="00C92B81">
        <w:rPr>
          <w:rFonts w:ascii="Times New Roman" w:hAnsi="Times New Roman" w:cs="Times New Roman"/>
          <w:i/>
          <w:sz w:val="24"/>
        </w:rPr>
        <w:t xml:space="preserve">th Legislature. The number, names and subject matter of committees can change from Legislature to Legislature. These descriptions should not be taken as definitive and may not describe committees established by subsequent Legislatures or necessarily predict the referencing of bills. </w:t>
      </w:r>
    </w:p>
    <w:p w14:paraId="602A7393" w14:textId="16B223B9" w:rsidR="0024772F" w:rsidRDefault="0024772F" w:rsidP="0024772F">
      <w:pPr>
        <w:pStyle w:val="NoSpacing"/>
        <w:rPr>
          <w:rFonts w:ascii="Times New Roman" w:hAnsi="Times New Roman" w:cs="Times New Roman"/>
          <w:sz w:val="24"/>
        </w:rPr>
      </w:pPr>
    </w:p>
    <w:p w14:paraId="4B112CAC" w14:textId="77777777" w:rsidR="0072065B" w:rsidRPr="00C92B81" w:rsidRDefault="0072065B" w:rsidP="0024772F">
      <w:pPr>
        <w:pStyle w:val="NoSpacing"/>
        <w:rPr>
          <w:rFonts w:ascii="Times New Roman" w:hAnsi="Times New Roman" w:cs="Times New Roman"/>
          <w:sz w:val="24"/>
        </w:rPr>
      </w:pPr>
    </w:p>
    <w:p w14:paraId="57A0B368" w14:textId="77777777" w:rsidR="0024772F" w:rsidRPr="0024772F" w:rsidRDefault="0024772F" w:rsidP="0024772F">
      <w:pPr>
        <w:pStyle w:val="NoSpacing"/>
        <w:rPr>
          <w:rFonts w:ascii="Times New Roman" w:hAnsi="Times New Roman" w:cs="Times New Roman"/>
          <w:sz w:val="24"/>
        </w:rPr>
      </w:pPr>
      <w:r w:rsidRPr="0024772F">
        <w:rPr>
          <w:rFonts w:ascii="Times New Roman" w:hAnsi="Times New Roman" w:cs="Times New Roman"/>
          <w:b/>
          <w:sz w:val="24"/>
        </w:rPr>
        <w:t>Agriculture, Conservation and Forestry.</w:t>
      </w:r>
      <w:r w:rsidRPr="0024772F">
        <w:rPr>
          <w:rFonts w:ascii="Times New Roman" w:hAnsi="Times New Roman" w:cs="Times New Roman"/>
          <w:sz w:val="24"/>
        </w:rPr>
        <w:t xml:space="preserve"> Department of Agriculture, Conservation and Forestry; agricultural development; agricultural fairs, products and marketing; animal control and welfare; harness racing; food policy; food safety, inspection and labeling; dairy industry; pest management and pesticides regulation; industrial hemp; state parks, historic sites, public lands and submerged lands; Maine Land Use Planning Commission; geological surveying and mapping; Maine Forest Service; timber harvesting; industrial hemp; the Land for Maine’s Future Program; and Baxter State Park. </w:t>
      </w:r>
    </w:p>
    <w:p w14:paraId="4B0F70ED" w14:textId="77777777" w:rsidR="0024772F" w:rsidRPr="0024772F" w:rsidRDefault="0024772F" w:rsidP="0024772F">
      <w:pPr>
        <w:pStyle w:val="NoSpacing"/>
        <w:rPr>
          <w:rFonts w:ascii="Times New Roman" w:hAnsi="Times New Roman" w:cs="Times New Roman"/>
          <w:sz w:val="24"/>
        </w:rPr>
      </w:pPr>
    </w:p>
    <w:p w14:paraId="2A6C0D44" w14:textId="77777777" w:rsidR="0024772F" w:rsidRPr="0024772F" w:rsidRDefault="0024772F" w:rsidP="0024772F">
      <w:pPr>
        <w:pStyle w:val="NoSpacing"/>
        <w:rPr>
          <w:rFonts w:ascii="Times New Roman" w:hAnsi="Times New Roman" w:cs="Times New Roman"/>
          <w:sz w:val="24"/>
        </w:rPr>
      </w:pPr>
      <w:r w:rsidRPr="0024772F">
        <w:rPr>
          <w:rFonts w:ascii="Times New Roman" w:hAnsi="Times New Roman" w:cs="Times New Roman"/>
          <w:b/>
          <w:sz w:val="24"/>
        </w:rPr>
        <w:t>Appropriations and Financial Affairs.</w:t>
      </w:r>
      <w:r w:rsidRPr="0024772F">
        <w:rPr>
          <w:rFonts w:ascii="Times New Roman" w:hAnsi="Times New Roman" w:cs="Times New Roman"/>
          <w:sz w:val="24"/>
        </w:rPr>
        <w:t xml:space="preserve"> General Fund appropriations and general fiscal policy; federal funds allocations, special revenue and block grant allocations when part of a biennial or supplemental budget; Budget Stabilization Fund; general obligation bond issues; collective bargaining funding; budgeting methodologies; review of financial orders; and financial evaluation of agencies of state government. </w:t>
      </w:r>
    </w:p>
    <w:p w14:paraId="0E45A307" w14:textId="77777777" w:rsidR="0024772F" w:rsidRPr="0024772F" w:rsidRDefault="0024772F" w:rsidP="0024772F">
      <w:pPr>
        <w:pStyle w:val="NoSpacing"/>
        <w:rPr>
          <w:rFonts w:ascii="Times New Roman" w:hAnsi="Times New Roman" w:cs="Times New Roman"/>
          <w:sz w:val="24"/>
        </w:rPr>
      </w:pPr>
    </w:p>
    <w:p w14:paraId="208BF54C" w14:textId="15008704" w:rsidR="0024772F" w:rsidRPr="0024772F" w:rsidRDefault="0024772F" w:rsidP="0024772F">
      <w:pPr>
        <w:pStyle w:val="NoSpacing"/>
        <w:rPr>
          <w:rFonts w:ascii="Times New Roman" w:hAnsi="Times New Roman" w:cs="Times New Roman"/>
          <w:sz w:val="24"/>
        </w:rPr>
      </w:pPr>
      <w:r w:rsidRPr="0024772F">
        <w:rPr>
          <w:rFonts w:ascii="Times New Roman" w:hAnsi="Times New Roman" w:cs="Times New Roman"/>
          <w:b/>
          <w:sz w:val="24"/>
        </w:rPr>
        <w:t xml:space="preserve">Criminal Justice and Public Safety. </w:t>
      </w:r>
      <w:r w:rsidRPr="0024772F">
        <w:rPr>
          <w:rFonts w:ascii="Times New Roman" w:hAnsi="Times New Roman" w:cs="Times New Roman"/>
          <w:sz w:val="24"/>
        </w:rPr>
        <w:t>Maine Criminal Code; Maine Juvenile Code</w:t>
      </w:r>
      <w:r w:rsidR="00651682">
        <w:rPr>
          <w:rFonts w:ascii="Times New Roman" w:hAnsi="Times New Roman" w:cs="Times New Roman"/>
          <w:sz w:val="24"/>
        </w:rPr>
        <w:t>; Maine Bail Code; criminal law</w:t>
      </w:r>
      <w:r w:rsidRPr="0024772F">
        <w:rPr>
          <w:rFonts w:ascii="Times New Roman" w:hAnsi="Times New Roman" w:cs="Times New Roman"/>
          <w:sz w:val="24"/>
        </w:rPr>
        <w:t>; criminal history record information; Criminal Law Advisory Commission; Department of Public Safety; law enforc</w:t>
      </w:r>
      <w:r w:rsidR="00651682">
        <w:rPr>
          <w:rFonts w:ascii="Times New Roman" w:hAnsi="Times New Roman" w:cs="Times New Roman"/>
          <w:sz w:val="24"/>
        </w:rPr>
        <w:t>ement; Criminal Justice Academy</w:t>
      </w:r>
      <w:r w:rsidRPr="0024772F">
        <w:rPr>
          <w:rFonts w:ascii="Times New Roman" w:hAnsi="Times New Roman" w:cs="Times New Roman"/>
          <w:sz w:val="24"/>
        </w:rPr>
        <w:t>; Department of Corrections; adult and juvenile cor</w:t>
      </w:r>
      <w:r w:rsidR="00651682">
        <w:rPr>
          <w:rFonts w:ascii="Times New Roman" w:hAnsi="Times New Roman" w:cs="Times New Roman"/>
          <w:sz w:val="24"/>
        </w:rPr>
        <w:t>rections; intensive supervision</w:t>
      </w:r>
      <w:r w:rsidRPr="0024772F">
        <w:rPr>
          <w:rFonts w:ascii="Times New Roman" w:hAnsi="Times New Roman" w:cs="Times New Roman"/>
          <w:sz w:val="24"/>
        </w:rPr>
        <w:t xml:space="preserve">; county jails; community corrections; adult-use marijuana crimes; operating under the influence; operating after suspension; habitual offenders; fire safety and arson; firefighters and emergency responders; firearms; concealed handgun permits; private investigators; security guards; amusement rides; </w:t>
      </w:r>
      <w:r w:rsidR="00C90674">
        <w:rPr>
          <w:rFonts w:ascii="Times New Roman" w:hAnsi="Times New Roman" w:cs="Times New Roman"/>
          <w:sz w:val="24"/>
        </w:rPr>
        <w:t xml:space="preserve">housing safety; building codes; </w:t>
      </w:r>
      <w:r w:rsidRPr="0024772F">
        <w:rPr>
          <w:rFonts w:ascii="Times New Roman" w:hAnsi="Times New Roman" w:cs="Times New Roman"/>
          <w:sz w:val="24"/>
        </w:rPr>
        <w:t xml:space="preserve">and Maine Emergency Management Agency. </w:t>
      </w:r>
    </w:p>
    <w:p w14:paraId="344E2F77" w14:textId="6CEBB2B9" w:rsidR="0024772F" w:rsidRDefault="0024772F" w:rsidP="0024772F">
      <w:pPr>
        <w:pStyle w:val="NoSpacing"/>
        <w:rPr>
          <w:rFonts w:ascii="Times New Roman" w:hAnsi="Times New Roman" w:cs="Times New Roman"/>
          <w:sz w:val="24"/>
        </w:rPr>
      </w:pPr>
    </w:p>
    <w:p w14:paraId="29346728" w14:textId="5A663E6C" w:rsidR="0072065B" w:rsidRDefault="0072065B" w:rsidP="0024772F">
      <w:pPr>
        <w:pStyle w:val="NoSpacing"/>
        <w:rPr>
          <w:rFonts w:ascii="Times New Roman" w:hAnsi="Times New Roman" w:cs="Times New Roman"/>
          <w:sz w:val="24"/>
        </w:rPr>
      </w:pPr>
    </w:p>
    <w:p w14:paraId="1F75ADB9" w14:textId="77777777" w:rsidR="0072065B" w:rsidRPr="0024772F" w:rsidRDefault="0072065B" w:rsidP="0024772F">
      <w:pPr>
        <w:pStyle w:val="NoSpacing"/>
        <w:rPr>
          <w:rFonts w:ascii="Times New Roman" w:hAnsi="Times New Roman" w:cs="Times New Roman"/>
          <w:sz w:val="24"/>
        </w:rPr>
      </w:pPr>
    </w:p>
    <w:p w14:paraId="367FAD51" w14:textId="77777777" w:rsidR="0024772F" w:rsidRPr="0024772F" w:rsidRDefault="0024772F" w:rsidP="0024772F">
      <w:pPr>
        <w:pStyle w:val="NoSpacing"/>
        <w:rPr>
          <w:rFonts w:ascii="Times New Roman" w:hAnsi="Times New Roman" w:cs="Times New Roman"/>
          <w:sz w:val="24"/>
        </w:rPr>
      </w:pPr>
      <w:r w:rsidRPr="0024772F">
        <w:rPr>
          <w:rFonts w:ascii="Times New Roman" w:hAnsi="Times New Roman" w:cs="Times New Roman"/>
          <w:b/>
          <w:sz w:val="24"/>
        </w:rPr>
        <w:lastRenderedPageBreak/>
        <w:t>Education and Cultural Affairs.</w:t>
      </w:r>
      <w:r w:rsidRPr="0024772F">
        <w:rPr>
          <w:rFonts w:ascii="Times New Roman" w:hAnsi="Times New Roman" w:cs="Times New Roman"/>
          <w:sz w:val="24"/>
        </w:rPr>
        <w:t xml:space="preserve"> Department of Education; State Board of Education; school finance, governance and administration; school budgets; school facilities; curriculum, instruction and assessment; teachers and administrators; special education and child development services; education of deaf and hard-of-hearing students; career and technical education; charter schools, alternative education, school choice and home schooling; school district reorganization; online learning; student health, nutrition and safety; truancy and dropouts; educational services at juvenile correctional facilities; adult education; Maine Education Policy Research Institute; University of Maine System; Maine Community College System; Maine Maritime Academy; postsecondary education finance and governance; Maine State Library; and cultural affairs, including Maine Arts Commission, Maine State Museum, Maine Historical Society, Maine Historic Preservation Commission, Maine Humanities Council and Maine Public, formerly known as Maine Public Broadcasting. </w:t>
      </w:r>
    </w:p>
    <w:p w14:paraId="5B28C208" w14:textId="77777777" w:rsidR="0024772F" w:rsidRPr="0024772F" w:rsidRDefault="0024772F" w:rsidP="0024772F">
      <w:pPr>
        <w:pStyle w:val="NoSpacing"/>
        <w:rPr>
          <w:rFonts w:ascii="Times New Roman" w:hAnsi="Times New Roman" w:cs="Times New Roman"/>
          <w:sz w:val="24"/>
        </w:rPr>
      </w:pPr>
    </w:p>
    <w:p w14:paraId="45A8A34B" w14:textId="77777777" w:rsidR="0024772F" w:rsidRPr="0024772F" w:rsidRDefault="0024772F" w:rsidP="0024772F">
      <w:pPr>
        <w:pStyle w:val="NoSpacing"/>
        <w:rPr>
          <w:rFonts w:ascii="Times New Roman" w:hAnsi="Times New Roman" w:cs="Times New Roman"/>
          <w:sz w:val="24"/>
        </w:rPr>
      </w:pPr>
      <w:r w:rsidRPr="0024772F">
        <w:rPr>
          <w:rFonts w:ascii="Times New Roman" w:hAnsi="Times New Roman" w:cs="Times New Roman"/>
          <w:b/>
          <w:sz w:val="24"/>
        </w:rPr>
        <w:t>Energy, Utilities and Technology.</w:t>
      </w:r>
      <w:r w:rsidRPr="0024772F">
        <w:rPr>
          <w:rFonts w:ascii="Times New Roman" w:hAnsi="Times New Roman" w:cs="Times New Roman"/>
          <w:sz w:val="24"/>
        </w:rPr>
        <w:t xml:space="preserve"> Energy policy, including energy resources, wind energy development, biomass energy, hydropower, solar energy; efficiency and conservation; electric industry, including supply, transmission and distribution; natural gas industry; tele-communications industry, including telephone, Internet, broadband and cable television services; E-9-1-1; water and sewer utilities, including district charters; Public Utilities Commission; Office of the Public Advocate; Governor’s Energy Office; </w:t>
      </w:r>
      <w:proofErr w:type="spellStart"/>
      <w:r w:rsidRPr="0024772F">
        <w:rPr>
          <w:rFonts w:ascii="Times New Roman" w:hAnsi="Times New Roman" w:cs="Times New Roman"/>
          <w:sz w:val="24"/>
        </w:rPr>
        <w:t>ConnectME</w:t>
      </w:r>
      <w:proofErr w:type="spellEnd"/>
      <w:r w:rsidRPr="0024772F">
        <w:rPr>
          <w:rFonts w:ascii="Times New Roman" w:hAnsi="Times New Roman" w:cs="Times New Roman"/>
          <w:sz w:val="24"/>
        </w:rPr>
        <w:t xml:space="preserve"> Authority; and Efficiency Maine Trust. </w:t>
      </w:r>
    </w:p>
    <w:p w14:paraId="718D4DC8" w14:textId="77777777" w:rsidR="0024772F" w:rsidRPr="0024772F" w:rsidRDefault="0024772F" w:rsidP="0024772F">
      <w:pPr>
        <w:pStyle w:val="NoSpacing"/>
        <w:rPr>
          <w:rFonts w:ascii="Times New Roman" w:hAnsi="Times New Roman" w:cs="Times New Roman"/>
          <w:sz w:val="24"/>
        </w:rPr>
      </w:pPr>
    </w:p>
    <w:p w14:paraId="54EDF42E" w14:textId="77777777" w:rsidR="0024772F" w:rsidRPr="0024772F" w:rsidRDefault="0024772F" w:rsidP="0024772F">
      <w:pPr>
        <w:pStyle w:val="NoSpacing"/>
        <w:rPr>
          <w:rFonts w:ascii="Times New Roman" w:hAnsi="Times New Roman" w:cs="Times New Roman"/>
          <w:sz w:val="24"/>
        </w:rPr>
      </w:pPr>
      <w:r w:rsidRPr="0024772F">
        <w:rPr>
          <w:rFonts w:ascii="Times New Roman" w:hAnsi="Times New Roman" w:cs="Times New Roman"/>
          <w:b/>
          <w:sz w:val="24"/>
        </w:rPr>
        <w:t>Environment and Natural Resources.</w:t>
      </w:r>
      <w:r w:rsidRPr="0024772F">
        <w:rPr>
          <w:rFonts w:ascii="Times New Roman" w:hAnsi="Times New Roman" w:cs="Times New Roman"/>
          <w:sz w:val="24"/>
        </w:rPr>
        <w:t xml:space="preserve"> Air and water quality; natural resource protection; site location of development laws, shoreland zoning, subdivisions and growth management; management and disposal of solid, hazardous, biomedical and special wastes; returnable containers; hydropower and dams; waste-to-energy facilities; mining; wind energy development; and general environmental policy, including oversight of the Department of Environmental Protection. </w:t>
      </w:r>
    </w:p>
    <w:p w14:paraId="47BD72BC" w14:textId="77777777" w:rsidR="0024772F" w:rsidRPr="0024772F" w:rsidRDefault="0024772F" w:rsidP="0024772F">
      <w:pPr>
        <w:pStyle w:val="NoSpacing"/>
        <w:rPr>
          <w:rFonts w:ascii="Times New Roman" w:hAnsi="Times New Roman" w:cs="Times New Roman"/>
          <w:sz w:val="24"/>
        </w:rPr>
      </w:pPr>
    </w:p>
    <w:p w14:paraId="49E770F6" w14:textId="77777777" w:rsidR="0024772F" w:rsidRPr="0024772F" w:rsidRDefault="0024772F" w:rsidP="0024772F">
      <w:pPr>
        <w:pStyle w:val="NoSpacing"/>
        <w:rPr>
          <w:rFonts w:ascii="Times New Roman" w:hAnsi="Times New Roman" w:cs="Times New Roman"/>
          <w:sz w:val="24"/>
        </w:rPr>
      </w:pPr>
      <w:r w:rsidRPr="0024772F">
        <w:rPr>
          <w:rFonts w:ascii="Times New Roman" w:hAnsi="Times New Roman" w:cs="Times New Roman"/>
          <w:b/>
          <w:sz w:val="24"/>
        </w:rPr>
        <w:t>Health Coverage, Insurance and Financial Services.</w:t>
      </w:r>
      <w:r w:rsidRPr="0024772F">
        <w:rPr>
          <w:rFonts w:ascii="Times New Roman" w:hAnsi="Times New Roman" w:cs="Times New Roman"/>
          <w:sz w:val="24"/>
        </w:rPr>
        <w:t xml:space="preserve"> Banking; financial institutions; credit unions; consumer credit; credit law (business-related); Uniform Consumer Credit Code; Bureau of Financial Institutions; Bureau of Consumer Credit Protection; mortgage lending; foreclosure prevention; servicing of student loans; debt collection practices and debt buyers; Office of Securities; stocks, mutual funds, bonds and other securities; financial services; Bureau of Insurance; credit, automobile, life, property and casualty insurance; private health insurance; health and medical data; Maine Health Data Organization; health maintenance organizations; mandated health benefits; health care reform; compliance with federal Affordable Care Act; prescription drugs; pharmacy benefit managers; cost containment; multiple employer welfare arrangements; State Employee Health Commission and state employee group health plan; long-term care insurance; disability income insurance; insurance rating, regulation and practices; insurance producers; professional and occupational licensing for health care and financial services; Maine Employers Mutual Insurance Company; workers' compensation insurance; self-insurance; and viatical and life settlement contracts. </w:t>
      </w:r>
    </w:p>
    <w:p w14:paraId="4EE55EF7" w14:textId="009648AF" w:rsidR="0024772F" w:rsidRDefault="0024772F" w:rsidP="0024772F">
      <w:pPr>
        <w:pStyle w:val="NoSpacing"/>
        <w:rPr>
          <w:rFonts w:ascii="Times New Roman" w:hAnsi="Times New Roman" w:cs="Times New Roman"/>
          <w:sz w:val="24"/>
        </w:rPr>
      </w:pPr>
    </w:p>
    <w:p w14:paraId="206F1713" w14:textId="60D501E7" w:rsidR="0072065B" w:rsidRDefault="0072065B" w:rsidP="0024772F">
      <w:pPr>
        <w:pStyle w:val="NoSpacing"/>
        <w:rPr>
          <w:rFonts w:ascii="Times New Roman" w:hAnsi="Times New Roman" w:cs="Times New Roman"/>
          <w:sz w:val="24"/>
        </w:rPr>
      </w:pPr>
    </w:p>
    <w:p w14:paraId="66B6E3A1" w14:textId="77777777" w:rsidR="0072065B" w:rsidRDefault="0072065B" w:rsidP="0024772F">
      <w:pPr>
        <w:pStyle w:val="NoSpacing"/>
        <w:rPr>
          <w:rFonts w:ascii="Times New Roman" w:hAnsi="Times New Roman" w:cs="Times New Roman"/>
          <w:sz w:val="24"/>
        </w:rPr>
      </w:pPr>
    </w:p>
    <w:p w14:paraId="3B2E3155" w14:textId="60BC4598" w:rsidR="0024772F" w:rsidRPr="0024772F" w:rsidRDefault="0024772F" w:rsidP="0024772F">
      <w:pPr>
        <w:pStyle w:val="NoSpacing"/>
        <w:rPr>
          <w:rFonts w:ascii="Times New Roman" w:hAnsi="Times New Roman" w:cs="Times New Roman"/>
          <w:sz w:val="24"/>
        </w:rPr>
      </w:pPr>
      <w:r w:rsidRPr="0024772F">
        <w:rPr>
          <w:rFonts w:ascii="Times New Roman" w:hAnsi="Times New Roman" w:cs="Times New Roman"/>
          <w:b/>
          <w:sz w:val="24"/>
        </w:rPr>
        <w:lastRenderedPageBreak/>
        <w:t>Health and Human Services.</w:t>
      </w:r>
      <w:r w:rsidRPr="0024772F">
        <w:rPr>
          <w:rFonts w:ascii="Times New Roman" w:hAnsi="Times New Roman" w:cs="Times New Roman"/>
          <w:sz w:val="24"/>
        </w:rPr>
        <w:t xml:space="preserve"> Department of Health and Human Services; </w:t>
      </w:r>
      <w:proofErr w:type="spellStart"/>
      <w:r w:rsidR="00C92B81">
        <w:rPr>
          <w:rFonts w:ascii="Times New Roman" w:hAnsi="Times New Roman" w:cs="Times New Roman"/>
          <w:sz w:val="24"/>
        </w:rPr>
        <w:t>M</w:t>
      </w:r>
      <w:r w:rsidRPr="0024772F">
        <w:rPr>
          <w:rFonts w:ascii="Times New Roman" w:hAnsi="Times New Roman" w:cs="Times New Roman"/>
          <w:sz w:val="24"/>
        </w:rPr>
        <w:t>aineCare</w:t>
      </w:r>
      <w:proofErr w:type="spellEnd"/>
      <w:r w:rsidRPr="0024772F">
        <w:rPr>
          <w:rFonts w:ascii="Times New Roman" w:hAnsi="Times New Roman" w:cs="Times New Roman"/>
          <w:sz w:val="24"/>
        </w:rPr>
        <w:t>/Medicaid; children’s welfare and mental health services; child care; maternal and infant health; public health; lead and water testing; immunization; tobac</w:t>
      </w:r>
      <w:r w:rsidR="00651682">
        <w:rPr>
          <w:rFonts w:ascii="Times New Roman" w:hAnsi="Times New Roman" w:cs="Times New Roman"/>
          <w:sz w:val="24"/>
        </w:rPr>
        <w:t>co and e-cigarette sale and use</w:t>
      </w:r>
      <w:r w:rsidRPr="0024772F">
        <w:rPr>
          <w:rFonts w:ascii="Times New Roman" w:hAnsi="Times New Roman" w:cs="Times New Roman"/>
          <w:sz w:val="24"/>
        </w:rPr>
        <w:t xml:space="preserve">; eating, lodging and campground licensing and inspection; opioid medications and limits; state health system planning; health care facilities; health care workforce; telemedicine; oral health and dental care; substance use disorder; mental health; developmental disability; aging; elderly and disability issues; home and community-based long-term care; nursing facilities and residential care; palliative and end- of-life care; and public assistance. </w:t>
      </w:r>
    </w:p>
    <w:p w14:paraId="76275960" w14:textId="77777777" w:rsidR="0024772F" w:rsidRPr="0024772F" w:rsidRDefault="0024772F" w:rsidP="0024772F">
      <w:pPr>
        <w:pStyle w:val="NoSpacing"/>
        <w:rPr>
          <w:rFonts w:ascii="Times New Roman" w:hAnsi="Times New Roman" w:cs="Times New Roman"/>
          <w:sz w:val="24"/>
        </w:rPr>
      </w:pPr>
    </w:p>
    <w:p w14:paraId="5E9CAD5C" w14:textId="77777777" w:rsidR="0024772F" w:rsidRPr="0024772F" w:rsidRDefault="0024772F" w:rsidP="0024772F">
      <w:pPr>
        <w:pStyle w:val="NoSpacing"/>
        <w:rPr>
          <w:rFonts w:ascii="Times New Roman" w:hAnsi="Times New Roman" w:cs="Times New Roman"/>
          <w:sz w:val="24"/>
        </w:rPr>
      </w:pPr>
      <w:r w:rsidRPr="0024772F">
        <w:rPr>
          <w:rFonts w:ascii="Times New Roman" w:hAnsi="Times New Roman" w:cs="Times New Roman"/>
          <w:b/>
          <w:sz w:val="24"/>
        </w:rPr>
        <w:t>Inland Fisheries and Wildlife.</w:t>
      </w:r>
      <w:r w:rsidRPr="0024772F">
        <w:rPr>
          <w:rFonts w:ascii="Times New Roman" w:hAnsi="Times New Roman" w:cs="Times New Roman"/>
          <w:sz w:val="24"/>
        </w:rPr>
        <w:t xml:space="preserve"> Department of Fisheries and Wildlife; inland fisheries and wildlife research and management; hunting; fishing; trapping; hunter safety; fish hatcheries; game wardens; guides; taxidermist licensing; ATVs; snowmobiles; watercraft registration and boater safety; and whitewater rafting. </w:t>
      </w:r>
    </w:p>
    <w:p w14:paraId="3BB39B6F" w14:textId="77777777" w:rsidR="0024772F" w:rsidRPr="0024772F" w:rsidRDefault="0024772F" w:rsidP="0024772F">
      <w:pPr>
        <w:pStyle w:val="NoSpacing"/>
        <w:rPr>
          <w:rFonts w:ascii="Times New Roman" w:hAnsi="Times New Roman" w:cs="Times New Roman"/>
          <w:sz w:val="24"/>
        </w:rPr>
      </w:pPr>
    </w:p>
    <w:p w14:paraId="745EB236" w14:textId="77777777" w:rsidR="0024772F" w:rsidRPr="0024772F" w:rsidRDefault="0024772F" w:rsidP="0024772F">
      <w:pPr>
        <w:pStyle w:val="NoSpacing"/>
        <w:rPr>
          <w:rFonts w:ascii="Times New Roman" w:hAnsi="Times New Roman" w:cs="Times New Roman"/>
          <w:sz w:val="24"/>
        </w:rPr>
      </w:pPr>
      <w:r w:rsidRPr="0024772F">
        <w:rPr>
          <w:rFonts w:ascii="Times New Roman" w:hAnsi="Times New Roman" w:cs="Times New Roman"/>
          <w:b/>
          <w:sz w:val="24"/>
        </w:rPr>
        <w:t>Innovation, Development, Economic Advancement and Business.</w:t>
      </w:r>
      <w:r w:rsidRPr="0024772F">
        <w:rPr>
          <w:rFonts w:ascii="Times New Roman" w:hAnsi="Times New Roman" w:cs="Times New Roman"/>
          <w:sz w:val="24"/>
        </w:rPr>
        <w:t xml:space="preserve"> Business regulation, including automobile and fuel sales; retail pricing; franchising; advertising; real estate practices; professional and occupational licensing; consumer protection; Finance Authority of Maine (FAME), including student assistance programs at Finance Authority of Maine; economic development; economic planning and development agencies; venture capital and trade programs; opportunity zones; import competition; product marketing; research and development; technology commercialization; technology transfers; tourism; and defense facility conversion.</w:t>
      </w:r>
    </w:p>
    <w:p w14:paraId="6FE7A6FE" w14:textId="77777777" w:rsidR="0024772F" w:rsidRPr="0024772F" w:rsidRDefault="0024772F" w:rsidP="0024772F">
      <w:pPr>
        <w:pStyle w:val="NoSpacing"/>
        <w:rPr>
          <w:rFonts w:ascii="Times New Roman" w:hAnsi="Times New Roman" w:cs="Times New Roman"/>
          <w:b/>
          <w:sz w:val="24"/>
          <w:u w:val="single"/>
        </w:rPr>
      </w:pPr>
    </w:p>
    <w:p w14:paraId="24FE5556" w14:textId="08C2B213" w:rsidR="0024772F" w:rsidRPr="0024772F" w:rsidRDefault="0024772F" w:rsidP="0024772F">
      <w:pPr>
        <w:pStyle w:val="NoSpacing"/>
        <w:rPr>
          <w:rFonts w:ascii="Times New Roman" w:hAnsi="Times New Roman" w:cs="Times New Roman"/>
          <w:sz w:val="24"/>
        </w:rPr>
      </w:pPr>
      <w:r w:rsidRPr="0024772F">
        <w:rPr>
          <w:rFonts w:ascii="Times New Roman" w:hAnsi="Times New Roman" w:cs="Times New Roman"/>
          <w:b/>
          <w:sz w:val="24"/>
        </w:rPr>
        <w:t>Judiciary.</w:t>
      </w:r>
      <w:r w:rsidRPr="0024772F">
        <w:rPr>
          <w:rFonts w:ascii="Times New Roman" w:hAnsi="Times New Roman" w:cs="Times New Roman"/>
          <w:sz w:val="24"/>
        </w:rPr>
        <w:t xml:space="preserve"> Judicial system organization and budget; criminal procedure; civil procedure; </w:t>
      </w:r>
      <w:r w:rsidR="00064B9D">
        <w:rPr>
          <w:rFonts w:ascii="Times New Roman" w:hAnsi="Times New Roman" w:cs="Times New Roman"/>
          <w:sz w:val="24"/>
        </w:rPr>
        <w:t xml:space="preserve">sentencing; probation and parole; </w:t>
      </w:r>
      <w:r w:rsidRPr="0024772F">
        <w:rPr>
          <w:rFonts w:ascii="Times New Roman" w:hAnsi="Times New Roman" w:cs="Times New Roman"/>
          <w:sz w:val="24"/>
        </w:rPr>
        <w:t>civil actions, including torts and medical malpractice; Maine Tort Claims Act; liability; immunity; claims against the State;</w:t>
      </w:r>
      <w:r w:rsidRPr="0024772F">
        <w:rPr>
          <w:rFonts w:ascii="Times New Roman" w:hAnsi="Times New Roman" w:cs="Times New Roman"/>
          <w:sz w:val="24"/>
          <w:u w:val="single"/>
        </w:rPr>
        <w:t xml:space="preserve"> </w:t>
      </w:r>
      <w:r w:rsidRPr="0024772F">
        <w:rPr>
          <w:rFonts w:ascii="Times New Roman" w:hAnsi="Times New Roman" w:cs="Times New Roman"/>
          <w:sz w:val="24"/>
        </w:rPr>
        <w:t xml:space="preserve">child protection; Family Law Advisory Commission; family law; domestic relations; child support; adoption; legal services; Maine Indigent Legal Services Commission; attorneys; Attorney General; District Attorneys; constitutional rights; abortion regulation and reproductive rights; civil rights; involuntary commitment and treatment; </w:t>
      </w:r>
      <w:r w:rsidR="00064B9D">
        <w:rPr>
          <w:rFonts w:ascii="Times New Roman" w:hAnsi="Times New Roman" w:cs="Times New Roman"/>
          <w:sz w:val="24"/>
        </w:rPr>
        <w:t xml:space="preserve">human trafficking; sex trafficking; </w:t>
      </w:r>
      <w:r w:rsidRPr="0024772F">
        <w:rPr>
          <w:rFonts w:ascii="Times New Roman" w:hAnsi="Times New Roman" w:cs="Times New Roman"/>
          <w:sz w:val="24"/>
        </w:rPr>
        <w:t xml:space="preserve">medical rights; human rights and discrimination; Maine Human Rights Commission; protection from harassment; protection from abuse; </w:t>
      </w:r>
      <w:r w:rsidR="00064B9D">
        <w:rPr>
          <w:rFonts w:ascii="Times New Roman" w:hAnsi="Times New Roman" w:cs="Times New Roman"/>
          <w:sz w:val="24"/>
        </w:rPr>
        <w:t xml:space="preserve">domestic violence; victims’ rights; Victims Compensation Fund; </w:t>
      </w:r>
      <w:r w:rsidRPr="0024772F">
        <w:rPr>
          <w:rFonts w:ascii="Times New Roman" w:hAnsi="Times New Roman" w:cs="Times New Roman"/>
          <w:sz w:val="24"/>
        </w:rPr>
        <w:t xml:space="preserve">guardianship and conservatorship; probate law; Probate and Trust Law Advisory Commission, Probate Code; Trust Code; foreclosure; property law; property rights; eminent domain; </w:t>
      </w:r>
      <w:r w:rsidR="00064B9D">
        <w:rPr>
          <w:rFonts w:ascii="Times New Roman" w:hAnsi="Times New Roman" w:cs="Times New Roman"/>
          <w:sz w:val="24"/>
        </w:rPr>
        <w:t xml:space="preserve">landlord-tenant laws; </w:t>
      </w:r>
      <w:r w:rsidRPr="0024772F">
        <w:rPr>
          <w:rFonts w:ascii="Times New Roman" w:hAnsi="Times New Roman" w:cs="Times New Roman"/>
          <w:sz w:val="24"/>
        </w:rPr>
        <w:t xml:space="preserve">unclaimed property; business and nonprofit organizations; Uniform Commercial Code; laws relating to Maine’s Indian Tribes, including the Act to Implement the Maine Indian Claims Settlement; Maine Indian Tribal-State Commission; freedom of access, confidentiality and privacy laws; statutory maintenance; and errors and inconsistencies. </w:t>
      </w:r>
    </w:p>
    <w:p w14:paraId="4C1C8FD8" w14:textId="77777777" w:rsidR="0024772F" w:rsidRPr="0024772F" w:rsidRDefault="0024772F" w:rsidP="0024772F">
      <w:pPr>
        <w:pStyle w:val="NoSpacing"/>
        <w:rPr>
          <w:rFonts w:ascii="Times New Roman" w:hAnsi="Times New Roman" w:cs="Times New Roman"/>
          <w:sz w:val="24"/>
        </w:rPr>
      </w:pPr>
    </w:p>
    <w:p w14:paraId="7EC735DF" w14:textId="6BC61237" w:rsidR="0024772F" w:rsidRPr="0024772F" w:rsidRDefault="0024772F" w:rsidP="0024772F">
      <w:pPr>
        <w:pStyle w:val="NoSpacing"/>
        <w:rPr>
          <w:rFonts w:ascii="Times New Roman" w:hAnsi="Times New Roman" w:cs="Times New Roman"/>
          <w:sz w:val="24"/>
        </w:rPr>
      </w:pPr>
      <w:r w:rsidRPr="0024772F">
        <w:rPr>
          <w:rFonts w:ascii="Times New Roman" w:hAnsi="Times New Roman" w:cs="Times New Roman"/>
          <w:b/>
          <w:sz w:val="24"/>
        </w:rPr>
        <w:t>Labor and Housing.</w:t>
      </w:r>
      <w:r w:rsidRPr="0024772F">
        <w:rPr>
          <w:rFonts w:ascii="Times New Roman" w:hAnsi="Times New Roman" w:cs="Times New Roman"/>
          <w:sz w:val="24"/>
        </w:rPr>
        <w:t xml:space="preserve"> Department of Labor; wage and hour laws; working conditions, including health and safety; unemployment compensation; workers' compensation; labor relations; collective bargaining; private sector retirement; Workers’ Compensation Board; Maine Labor Relations Board; retirement eligibility and benefits for state and municipal</w:t>
      </w:r>
      <w:r w:rsidR="00651682">
        <w:rPr>
          <w:rFonts w:ascii="Times New Roman" w:hAnsi="Times New Roman" w:cs="Times New Roman"/>
          <w:sz w:val="24"/>
        </w:rPr>
        <w:t xml:space="preserve"> employees, including teachers;</w:t>
      </w:r>
      <w:r w:rsidRPr="0024772F">
        <w:rPr>
          <w:rFonts w:ascii="Times New Roman" w:hAnsi="Times New Roman" w:cs="Times New Roman"/>
          <w:sz w:val="24"/>
        </w:rPr>
        <w:t xml:space="preserve"> judicial and legislative retirement systems; Maine Public Employees Retirement System; insulation; Maine State Housing Authority; a</w:t>
      </w:r>
      <w:r w:rsidR="00651682">
        <w:rPr>
          <w:rFonts w:ascii="Times New Roman" w:hAnsi="Times New Roman" w:cs="Times New Roman"/>
          <w:sz w:val="24"/>
        </w:rPr>
        <w:t>ffordable housing; homelessness</w:t>
      </w:r>
      <w:r w:rsidRPr="0024772F">
        <w:rPr>
          <w:rFonts w:ascii="Times New Roman" w:hAnsi="Times New Roman" w:cs="Times New Roman"/>
          <w:sz w:val="24"/>
        </w:rPr>
        <w:t xml:space="preserve">; public services. </w:t>
      </w:r>
    </w:p>
    <w:p w14:paraId="3B6A9523" w14:textId="77777777" w:rsidR="0024772F" w:rsidRPr="0024772F" w:rsidRDefault="0024772F" w:rsidP="0024772F">
      <w:pPr>
        <w:pStyle w:val="NoSpacing"/>
        <w:rPr>
          <w:rFonts w:ascii="Times New Roman" w:hAnsi="Times New Roman" w:cs="Times New Roman"/>
          <w:sz w:val="24"/>
        </w:rPr>
      </w:pPr>
    </w:p>
    <w:p w14:paraId="02E83390" w14:textId="77777777" w:rsidR="0024772F" w:rsidRPr="0024772F" w:rsidRDefault="0024772F" w:rsidP="0024772F">
      <w:pPr>
        <w:pStyle w:val="NoSpacing"/>
        <w:rPr>
          <w:rFonts w:ascii="Times New Roman" w:hAnsi="Times New Roman" w:cs="Times New Roman"/>
          <w:sz w:val="24"/>
        </w:rPr>
      </w:pPr>
      <w:r w:rsidRPr="0024772F">
        <w:rPr>
          <w:rFonts w:ascii="Times New Roman" w:hAnsi="Times New Roman" w:cs="Times New Roman"/>
          <w:b/>
          <w:sz w:val="24"/>
        </w:rPr>
        <w:lastRenderedPageBreak/>
        <w:t>Marine Resources.</w:t>
      </w:r>
      <w:r w:rsidRPr="0024772F">
        <w:rPr>
          <w:rFonts w:ascii="Times New Roman" w:hAnsi="Times New Roman" w:cs="Times New Roman"/>
          <w:sz w:val="24"/>
        </w:rPr>
        <w:t xml:space="preserve"> Department of Marine Resources; Marine Patrol; commercial and recreational marine fisheries management, licensing and enforcement; marine science and research; shellfish sanitation and management; and aquaculture. </w:t>
      </w:r>
    </w:p>
    <w:p w14:paraId="210ED89B" w14:textId="77777777" w:rsidR="0024772F" w:rsidRPr="0024772F" w:rsidRDefault="0024772F" w:rsidP="0024772F">
      <w:pPr>
        <w:pStyle w:val="NoSpacing"/>
        <w:rPr>
          <w:rFonts w:ascii="Times New Roman" w:hAnsi="Times New Roman" w:cs="Times New Roman"/>
          <w:sz w:val="24"/>
        </w:rPr>
      </w:pPr>
    </w:p>
    <w:p w14:paraId="51987C1D" w14:textId="77777777" w:rsidR="0024772F" w:rsidRPr="0024772F" w:rsidRDefault="0024772F" w:rsidP="0024772F">
      <w:pPr>
        <w:pStyle w:val="NoSpacing"/>
        <w:rPr>
          <w:rFonts w:ascii="Times New Roman" w:hAnsi="Times New Roman" w:cs="Times New Roman"/>
          <w:sz w:val="24"/>
        </w:rPr>
      </w:pPr>
      <w:r w:rsidRPr="0024772F">
        <w:rPr>
          <w:rFonts w:ascii="Times New Roman" w:hAnsi="Times New Roman" w:cs="Times New Roman"/>
          <w:b/>
          <w:sz w:val="24"/>
        </w:rPr>
        <w:t>State and Local Government.</w:t>
      </w:r>
      <w:r w:rsidRPr="0024772F">
        <w:rPr>
          <w:rFonts w:ascii="Times New Roman" w:hAnsi="Times New Roman" w:cs="Times New Roman"/>
          <w:sz w:val="24"/>
        </w:rPr>
        <w:t xml:space="preserve"> State government, including the Legislature, state property, public purchasing and contracts, state agencies and government organization, state employment, oversight of state officials, periodic review of State Government Evaluation Act; </w:t>
      </w:r>
      <w:r w:rsidR="00C92B81" w:rsidRPr="0024772F">
        <w:rPr>
          <w:rFonts w:ascii="Times New Roman" w:hAnsi="Times New Roman" w:cs="Times New Roman"/>
          <w:sz w:val="24"/>
        </w:rPr>
        <w:t xml:space="preserve">Maine State Archives; </w:t>
      </w:r>
      <w:r w:rsidRPr="0024772F">
        <w:rPr>
          <w:rFonts w:ascii="Times New Roman" w:hAnsi="Times New Roman" w:cs="Times New Roman"/>
          <w:sz w:val="24"/>
        </w:rPr>
        <w:t xml:space="preserve">administrative procedures, boards and commissions, state holidays and designations, and capitol area planning; county government, including regional planning, budget process and county officials; municipal and local government, including </w:t>
      </w:r>
      <w:proofErr w:type="spellStart"/>
      <w:r w:rsidRPr="0024772F">
        <w:rPr>
          <w:rFonts w:ascii="Times New Roman" w:hAnsi="Times New Roman" w:cs="Times New Roman"/>
          <w:sz w:val="24"/>
        </w:rPr>
        <w:t>deorganization</w:t>
      </w:r>
      <w:proofErr w:type="spellEnd"/>
      <w:r w:rsidRPr="0024772F">
        <w:rPr>
          <w:rFonts w:ascii="Times New Roman" w:hAnsi="Times New Roman" w:cs="Times New Roman"/>
          <w:sz w:val="24"/>
        </w:rPr>
        <w:t xml:space="preserve"> and consolidation, planning and regulation, land use; discontinued and abandoned roads and cemeteries. </w:t>
      </w:r>
    </w:p>
    <w:p w14:paraId="61DE5227" w14:textId="77777777" w:rsidR="0024772F" w:rsidRPr="0024772F" w:rsidRDefault="0024772F" w:rsidP="0024772F">
      <w:pPr>
        <w:pStyle w:val="NoSpacing"/>
        <w:rPr>
          <w:rFonts w:ascii="Times New Roman" w:hAnsi="Times New Roman" w:cs="Times New Roman"/>
          <w:sz w:val="24"/>
        </w:rPr>
      </w:pPr>
    </w:p>
    <w:p w14:paraId="29029868" w14:textId="77777777" w:rsidR="0024772F" w:rsidRPr="0024772F" w:rsidRDefault="0024772F" w:rsidP="0024772F">
      <w:pPr>
        <w:pStyle w:val="NoSpacing"/>
        <w:rPr>
          <w:rFonts w:ascii="Times New Roman" w:hAnsi="Times New Roman" w:cs="Times New Roman"/>
          <w:sz w:val="24"/>
        </w:rPr>
      </w:pPr>
      <w:r w:rsidRPr="0024772F">
        <w:rPr>
          <w:rFonts w:ascii="Times New Roman" w:hAnsi="Times New Roman" w:cs="Times New Roman"/>
          <w:b/>
          <w:sz w:val="24"/>
        </w:rPr>
        <w:t>Taxation.</w:t>
      </w:r>
      <w:r w:rsidRPr="0024772F">
        <w:rPr>
          <w:rFonts w:ascii="Times New Roman" w:hAnsi="Times New Roman" w:cs="Times New Roman"/>
          <w:sz w:val="24"/>
        </w:rPr>
        <w:t xml:space="preserve"> Bureau of Revenue Services and State Board of Property Tax Review; state and local taxes; tax exemptions and credits; tax expenditure review; taxpayer relief programs; property valuation and assessment; tax increment financing; municipal revenue sharing; taxation of unorganized territories; and tree growth and other current use tax issues. </w:t>
      </w:r>
    </w:p>
    <w:p w14:paraId="639D9962" w14:textId="77777777" w:rsidR="0024772F" w:rsidRPr="0024772F" w:rsidRDefault="0024772F" w:rsidP="0024772F">
      <w:pPr>
        <w:pStyle w:val="NoSpacing"/>
        <w:rPr>
          <w:rFonts w:ascii="Times New Roman" w:hAnsi="Times New Roman" w:cs="Times New Roman"/>
          <w:sz w:val="24"/>
        </w:rPr>
      </w:pPr>
    </w:p>
    <w:p w14:paraId="30122902" w14:textId="77777777" w:rsidR="0024772F" w:rsidRPr="0024772F" w:rsidRDefault="0024772F" w:rsidP="0024772F">
      <w:pPr>
        <w:pStyle w:val="NoSpacing"/>
        <w:rPr>
          <w:rFonts w:ascii="Times New Roman" w:hAnsi="Times New Roman" w:cs="Times New Roman"/>
          <w:sz w:val="24"/>
        </w:rPr>
      </w:pPr>
      <w:r w:rsidRPr="0024772F">
        <w:rPr>
          <w:rFonts w:ascii="Times New Roman" w:hAnsi="Times New Roman" w:cs="Times New Roman"/>
          <w:b/>
          <w:sz w:val="24"/>
        </w:rPr>
        <w:t>Transportation.</w:t>
      </w:r>
      <w:r w:rsidRPr="0024772F">
        <w:rPr>
          <w:rFonts w:ascii="Times New Roman" w:hAnsi="Times New Roman" w:cs="Times New Roman"/>
          <w:sz w:val="24"/>
        </w:rPr>
        <w:t xml:space="preserve"> Department of Transportation; Bureau of Motor Vehicles; motor vehicle registration and license plates; drivers’ licenses; driver education; Maine Turnpike Authority; Highway Fund; transportation policy; public transportation; aeronautics; highway and bridge construction and maintenance; highway safety; traffic regulation; waterways; railroads; Department of Public Safety, State Police; and motor vehicles and motor carriers. </w:t>
      </w:r>
    </w:p>
    <w:p w14:paraId="43BBF47D" w14:textId="77777777" w:rsidR="0024772F" w:rsidRPr="0024772F" w:rsidRDefault="0024772F" w:rsidP="0024772F">
      <w:pPr>
        <w:pStyle w:val="NoSpacing"/>
        <w:rPr>
          <w:rFonts w:ascii="Times New Roman" w:hAnsi="Times New Roman" w:cs="Times New Roman"/>
          <w:sz w:val="24"/>
        </w:rPr>
      </w:pPr>
    </w:p>
    <w:p w14:paraId="1C9F332F" w14:textId="7ECF1D37" w:rsidR="0024772F" w:rsidRPr="0024772F" w:rsidRDefault="0024772F" w:rsidP="0024772F">
      <w:pPr>
        <w:pStyle w:val="NoSpacing"/>
        <w:rPr>
          <w:rFonts w:ascii="Times New Roman" w:hAnsi="Times New Roman" w:cs="Times New Roman"/>
          <w:sz w:val="24"/>
        </w:rPr>
      </w:pPr>
      <w:r w:rsidRPr="0024772F">
        <w:rPr>
          <w:rFonts w:ascii="Times New Roman" w:hAnsi="Times New Roman" w:cs="Times New Roman"/>
          <w:b/>
          <w:sz w:val="24"/>
        </w:rPr>
        <w:t>Veterans and Legal Affairs.</w:t>
      </w:r>
      <w:r w:rsidRPr="0024772F">
        <w:rPr>
          <w:rFonts w:ascii="Times New Roman" w:hAnsi="Times New Roman" w:cs="Times New Roman"/>
          <w:sz w:val="24"/>
        </w:rPr>
        <w:t xml:space="preserve"> Alcoholic beverage laws; marijuana regulation; lottery; for profit and nonprofit gambling, including games of chance, beano and raffles; slot machines, gaming devices; harness racing and off-track betting; election laws; campaign practices; campaign financing and disclosures; the Maine Clean Election Act; voter registration; direct initiatives and people’s veto; legislative ethics; lobbyist registration and reporting; Commission on Governmental Ethics and Election Practices; veterans’ programs; Department of Defense, Veterans and Emergency Management Services (except the Maine Emergency Management Agency); Bureau of Alcoholic Beverages and Lottery Operations; Gambling Control Board; and Maine National Guard.</w:t>
      </w:r>
    </w:p>
    <w:p w14:paraId="227B4866" w14:textId="77777777" w:rsidR="0024772F" w:rsidRPr="0024772F" w:rsidRDefault="0024772F" w:rsidP="0024772F">
      <w:pPr>
        <w:pStyle w:val="NoSpacing"/>
        <w:rPr>
          <w:rFonts w:ascii="Times New Roman" w:hAnsi="Times New Roman" w:cs="Times New Roman"/>
          <w:sz w:val="24"/>
        </w:rPr>
      </w:pPr>
    </w:p>
    <w:p w14:paraId="6E953EFA" w14:textId="77777777" w:rsidR="00237F7E" w:rsidRPr="0024772F" w:rsidRDefault="00BC6961" w:rsidP="0024772F">
      <w:pPr>
        <w:pStyle w:val="NoSpacing"/>
        <w:rPr>
          <w:rFonts w:ascii="Times New Roman" w:hAnsi="Times New Roman" w:cs="Times New Roman"/>
          <w:sz w:val="24"/>
        </w:rPr>
      </w:pPr>
    </w:p>
    <w:sectPr w:rsidR="00237F7E" w:rsidRPr="0024772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ocGuid" w:val="1344dd0a-2785-40bc-a50f-03aabd155f87"/>
  </w:docVars>
  <w:rsids>
    <w:rsidRoot w:val="00387B6C"/>
    <w:rsid w:val="00064B9D"/>
    <w:rsid w:val="000710D7"/>
    <w:rsid w:val="0024772F"/>
    <w:rsid w:val="002A2743"/>
    <w:rsid w:val="00387B6C"/>
    <w:rsid w:val="00413E24"/>
    <w:rsid w:val="004874B6"/>
    <w:rsid w:val="00576594"/>
    <w:rsid w:val="00651682"/>
    <w:rsid w:val="0072065B"/>
    <w:rsid w:val="00721DC9"/>
    <w:rsid w:val="00777F14"/>
    <w:rsid w:val="00B5771C"/>
    <w:rsid w:val="00BB7637"/>
    <w:rsid w:val="00BC6961"/>
    <w:rsid w:val="00BE104C"/>
    <w:rsid w:val="00C90674"/>
    <w:rsid w:val="00C92B81"/>
    <w:rsid w:val="00CB0A46"/>
    <w:rsid w:val="00DD4332"/>
    <w:rsid w:val="00DD7F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3E4AA"/>
  <w15:docId w15:val="{14BA323B-7F47-4E19-978A-335E01BD2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87B6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387B6C"/>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387B6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387B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7B6C"/>
    <w:rPr>
      <w:rFonts w:ascii="Tahoma" w:hAnsi="Tahoma" w:cs="Tahoma"/>
      <w:sz w:val="16"/>
      <w:szCs w:val="16"/>
    </w:rPr>
  </w:style>
  <w:style w:type="paragraph" w:styleId="NoSpacing">
    <w:name w:val="No Spacing"/>
    <w:uiPriority w:val="1"/>
    <w:qFormat/>
    <w:rsid w:val="0024772F"/>
    <w:pPr>
      <w:spacing w:after="0" w:line="240" w:lineRule="auto"/>
    </w:pPr>
  </w:style>
  <w:style w:type="table" w:styleId="TableGrid">
    <w:name w:val="Table Grid"/>
    <w:basedOn w:val="TableNormal"/>
    <w:uiPriority w:val="59"/>
    <w:rsid w:val="00B577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B7637"/>
    <w:rPr>
      <w:sz w:val="16"/>
      <w:szCs w:val="16"/>
    </w:rPr>
  </w:style>
  <w:style w:type="paragraph" w:styleId="CommentText">
    <w:name w:val="annotation text"/>
    <w:basedOn w:val="Normal"/>
    <w:link w:val="CommentTextChar"/>
    <w:uiPriority w:val="99"/>
    <w:semiHidden/>
    <w:unhideWhenUsed/>
    <w:rsid w:val="00BB7637"/>
    <w:pPr>
      <w:spacing w:line="240" w:lineRule="auto"/>
    </w:pPr>
    <w:rPr>
      <w:sz w:val="20"/>
      <w:szCs w:val="20"/>
    </w:rPr>
  </w:style>
  <w:style w:type="character" w:customStyle="1" w:styleId="CommentTextChar">
    <w:name w:val="Comment Text Char"/>
    <w:basedOn w:val="DefaultParagraphFont"/>
    <w:link w:val="CommentText"/>
    <w:uiPriority w:val="99"/>
    <w:semiHidden/>
    <w:rsid w:val="00BB7637"/>
    <w:rPr>
      <w:sz w:val="20"/>
      <w:szCs w:val="20"/>
    </w:rPr>
  </w:style>
  <w:style w:type="paragraph" w:styleId="CommentSubject">
    <w:name w:val="annotation subject"/>
    <w:basedOn w:val="CommentText"/>
    <w:next w:val="CommentText"/>
    <w:link w:val="CommentSubjectChar"/>
    <w:uiPriority w:val="99"/>
    <w:semiHidden/>
    <w:unhideWhenUsed/>
    <w:rsid w:val="00BB7637"/>
    <w:rPr>
      <w:b/>
      <w:bCs/>
    </w:rPr>
  </w:style>
  <w:style w:type="character" w:customStyle="1" w:styleId="CommentSubjectChar">
    <w:name w:val="Comment Subject Char"/>
    <w:basedOn w:val="CommentTextChar"/>
    <w:link w:val="CommentSubject"/>
    <w:uiPriority w:val="99"/>
    <w:semiHidden/>
    <w:rsid w:val="00BB763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1768</Words>
  <Characters>10078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Maine Legislature</Company>
  <LinksUpToDate>false</LinksUpToDate>
  <CharactersWithSpaces>11823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Turcotte, Samantha</dc:creator>
  <cp:lastModifiedBy>Julie Ann Smith</cp:lastModifiedBy>
  <cp:revision>2</cp:revision>
  <cp:lastPrinted>2021-01-11T19:41:00Z</cp:lastPrinted>
  <dcterms:created xsi:type="dcterms:W3CDTF">2021-01-12T15:55:00Z</dcterms:created>
  <dcterms:modified xsi:type="dcterms:W3CDTF">2021-01-12T15:55:00Z</dcterms:modified>
</cp:coreProperties>
</file>